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84 vom 16. März 2021</w:t>
      </w:r>
    </w:p>
    <w:p>
      <w:r>
        <w:t>VS Kantonsgericht, 2021-03-16, FR</w:t>
      </w:r>
    </w:p>
    <w:p>
      <w:r>
        <w:rPr>
          <w:b/>
        </w:rPr>
        <w:t xml:space="preserve">Quelle: </w:t>
      </w:r>
      <w:r>
        <w:t>https://mcp.opencaselaw.ch/entscheid/vs_gerichte_A1 20 84</w:t>
      </w:r>
    </w:p>
    <w:p>
      <w:r>
        <w:t>FR: VS_GERICHTE A1 20 84 du 16 mars 2021</w:t>
      </w:r>
    </w:p>
    <w:p>
      <w:r>
        <w:t>IT: VS_GERICHTE A1 20 84 del 16 marzo 2021</w:t>
      </w:r>
    </w:p>
    <w:p>
      <w:pPr>
        <w:pStyle w:val="Heading2"/>
      </w:pPr>
      <w:r>
        <w:t>Regeste</w:t>
      </w:r>
    </w:p>
    <w:p>
      <w:r>
        <w:t>A1 20 84 ARRÊT DU 16 MARS 2021 Tribunal cantonal du Valais Cour de droit public Composition : Christophe Joris, président ; Jean-Bernard Fournier et Thomas Brunner, juges ; Ferdinand Vanay, greffier en la cause G _________ SA, recourante, représentée par Maître M _________, contre CONSEIL D’ÉTAT DU CANTON DU VALAIS, autorité attaquée, dans l’affaire qui oppose la recourante à H _________, I _________, J _________, K _________, L _________, O _________ et P _________, Q _________, R _________,</w:t>
      </w:r>
    </w:p>
    <w:p>
      <w:pPr>
        <w:pStyle w:val="Heading2"/>
      </w:pPr>
      <w:r>
        <w:t>Erwägungen</w:t>
      </w:r>
    </w:p>
    <w:p>
      <w:r>
        <w:rPr>
          <w:b/>
        </w:rPr>
        <w:t>E. 19</w:t>
      </w:r>
    </w:p>
    <w:p>
      <w:r>
        <w:t>145/153 du 5 mai 2020 consid. 1.4 et A1 18 5 précité consid. 2). En l’occurrence, le recours doit être tranché en application du nouveau droit, puisque le litige trouve son origine dans la décision de la commune de Z _________ délivrant l’autorisation de construire, prononcé qui est postérieur au 1er janvier 2018. L’autorité précédente a ainsi correctement retenu que la légalité dudit prononcé devait être examinée à l’aune de la LC, de l’OC et de l’AIHC, ce que la recourante ne conteste d’ailleurs pas.</w:t>
      </w:r>
    </w:p>
    <w:p>
      <w:r>
        <w:t>- 9 - 2. L’affaire a trait à un projet visant la construction, en ville de Z _________, d’un bâtiment comprenant 37 logements ainsi que des commerces, des bureaux et un parking souterrain. Le Conseil d’Etat a annulé l’autorisation de construire que l’autorité commu- nale a accordée à la recourante, estimant que ce projet était doté de dimensions qui ne respectaient pas l’article 77 lettre a RCCZ, disposition qu’il convenait d’interpréter conformément au droit supérieur et, en particulier, à l’AIHC. La recourante conteste céans cette décision. Elle invoque d’abord la violation de son droit d’être entendue (cf. infra, consid. 3). Elle reproche ensuite à l’autorité précédente de n’avoir respecté ni l’article 4 alinéa 1 LC, ni l’autonomie communale et d’avoir fait un usage abusif du pouvoir d’appréciation qui lui est reconnu (cf. infra, consid. 4). Enfin, elle soutient que son projet de construction pouvait, quoi qu’il en soit, être autorisé sur la base d’une dérogation au sens de l’article 98 RCCZ (cf. infra, consid. 5). 3.1 En premier lieu, la recourante invoque une violation de son droit d’être entendue. Elle fait remarquer que l’autorité précédente a rendu sa décision en interprétant la notion de profondeur (ou de largeur) d’un bâtiment à l’aune de la définition de l’AIHC, point qui était étranger aux griefs qu’avaient formulés les opposants et qui n’avait jamais été débattu au cours de la procédure. Elle soutient qu’elle a ainsi été prise au dépourvu par ce moyen, l’autorité précédente ayant illégalement omis de lui donner l’occasion de se déterminer à ce propos avant de rendre sa décision. 3.2 Le droit d’être entendu sert non seulement à établir correctement les faits, mais constitue également un droit indissociable de la personnalité garantissant à un particulier de participer à la prise d'une décision qui touche sa position juridique. Tel qu'il est garanti par l'article 29 alinéa 2 de la Constitution fédérale du 18 avril 1999 (Cst. ; RS 101), il comprend notamment le droit pour la personne concernée de s'expliquer avant qu'une décision ne soit prise à son détriment (v. aussi art. 19 al. 1 LPJA).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143 V 71 consid. 4.1 et 135 I 279 consid. 2.3). Ce droit porte avant tout sur les questions de fait : l'intéressé doit pouvoir s'exprimer sur les éléments pertinents avant qu'une décision ne soit prise touchant sa situation juridique (ATF 145 I 73 consid. 7.2.2.1 et 140 I 285 consid. 6.3.1). Le droit des parties d'être interpellées sur des questions juridiques n'est reconnu que de manière restreinte. De manière générale, en vertu de la règle iura novit curia, le juge n'a en effet pas à soumettre à la discussion des parties les principes juridiques sur lesquels il va fonder son</w:t>
      </w:r>
    </w:p>
    <w:p>
      <w:r>
        <w:t>- 10 - jugement ; il peut appliquer d'office, sans avoir à attirer préalablement l'attention des parties sur l'existence de tel ou tel problème juridique, une disposition de droit matériel. Selon la jurisprudence, les parties doivent cependant être entendues sur les questions de droit lorsque l'autorité concernée envisage de fonder sa décision sur une norme ou un motif juridique non évoqué dans la procédure antérieure et dont aucune des parties en présence ne s'est prévalue et ne pouvait raisonnablement supputer la pertinence (ATF 145 I 167 consid. 4.1, cité p. ex. in : arrêt du Tribunal fédéral 1C_309/2020 du 5 janvier 2021 consid. 4.1). 3.3 En l’occurrence, c’est à tort que la recourante estime que l’autorité précédente aurait dû lui faire part de son intention d’interpréter la notion de profondeur (ou de largeur) d’un bâtiment à l’aune de la définition de l’AIHC et lui donner l’occasion de se déterminer à ce propos. Il faut en effet relever que le mode de calcul de la profondeur du bâtiment projeté était contesté par H _________ &amp; consorts dès le stade de l’opposition. Certes, ceux-ci n’ont jamais mentionné dans leurs arguments qu’il convenait de faire application de la définition de la largeur d’un bâtiment donnée par l’AIHC, de sorte que cette question spécifique n’a jamais été discutée dans les différents échanges d’écritures. En particulier, la recourante n’a jamais formellement fait valoir son point de vue à ce sujet avant le dépôt de son mémoire de recours de droit administratif. Néanmoins, appelé à examiner si la profondeur du bâtiment projeté était conforme aux dispositions légales applicables, le Conseil d’Etat n’était nullement lié par les motifs qu’invoquaient les parties (art. 61 LPJA) ; il devait donc appliquer le droit d’office. De plus, la recourante n’était pas censée ignorer que la LC était entrée en vigueur, le 1er janvier 2018, et qu’à partir de cette date, les règles de l’AIHC s’appliquaient également en Valais. Elle devait donc, en faisant montre de l’attention commandée par ce changement légal, s’attendre à ce que celui-ci impacte potentiellement certaines règles et pratiques communales. On ne saurait assimiler l’entrée en vigueur d’un nouveau texte de loi à un moyen dont les parties ne pouvaient pas avoir connaissance ou qu’elles ne pouvaient anticiper parce qu’il était totalement inattendu. Pour ces raisons, le Conseil d’Etat n’était pas contraint d’interpeller formellement la recourante pour que celle-ci se détermine à propos de l’application du droit qui était en vigueur déjà lorsque l’autorité communale s’est prononcée. La décision attaquée ne viole donc pas le droit d’être entendu de la recourante, ni d’ailleurs les principes du contradictoire et de l'égalité des armes qui découlent des règles du procès équitable.</w:t>
      </w:r>
    </w:p>
    <w:p>
      <w:r>
        <w:t>- 11 - 3.4 En tout état de cause, même s’il fallait admettre que le Conseil d’Etat aurait dû donner à la recourante l’occasion de se déterminer sur ce point afin de respecter son droit d’être entendue, cette informalité ne permettrait pas de faire droit aux conclusions de la constructrice. En effet, s’il est certes exact que la violation du droit d'être entendu entraîne en principe l'annulation de la décision attaquée, indépendamment des chances de succès du recours sur le fond (ATF 135 I 187 consid. 2.2), la jurisprudence a néanmoins précisé qu’une telle violation peut être réparée lorsque la partie lésée a la possibilité de s'exprimer devant une autorité de recours jouissant d'un plein pouvoir d'examen (ATF 135 I 279 consid. 2.6.1, 133 I 201 consid. 2.2 et les arrêts cités).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cité p. ex. in : arrêt 1C_309/2020 précité consid. 5.1). En effet, le droit d'être entendu n'est pas une fin en soi ; il constitue un moyen d'éviter qu'une procédure judiciaire n'aboutisse à un jugement vicié en raison de la violation du droit des parties de participer à la procédure. Lorsqu'on ne voit pas quelle influence la violation du droit d'être entendu a pu avoir sur la procédure, il n'y a pas lieu d'annuler la décision attaquée (ATF 143 IV 380 consid. 1.4.1). Or, en l’espèce, la recourante a fait valoir céans ses critiques quant à la décision du Conseil d’Etat d’interpréter la notion de profondeur ou de largeur d’un bâtiment à l’aune de la définition de l’AIHC. Dite autorité a répondu à ces griefs et la recourante a répliqué. Il y a donc lieu de considérer que celle-ci a été en mesure de s’exprimer sans réserves sur cette question, laquelle sera examinée ci-après par la juridiction de céans avec un plein pouvoir d’examen. Une éventuelle violation du droit d’être entendu de la recourante aurait ainsi été réparée en procédure de recours de droit administratif. Dans ces circonstances, une annulation de la décision attaquée et un renvoi à l’autorité précédente pour le motif formel qu’invoque la recourante serait excessivement formaliste et ne se justifierait pas. 4.1 Ensuite, la recourante soutient que son projet de construction est conforme à l’article 77 lettre a RCCZ. Elle expose que la pratique de l’autorité communale, qui consiste à appliquer la profondeur maximale de 16 m que prévoit cette disposition uniquement aux</w:t>
      </w:r>
    </w:p>
    <w:p>
      <w:r>
        <w:t>- 12 - points de jonction des façades soumises au régime de la contiguïté, est compatible avec l’AIHC. Elle relève aussi que son projet de construction comprend en réalité deux corps de bâtiment distincts, de sorte que la limite fixée par la disposition précitée est respectée. Ainsi, la recourante prétend que la décision rendue par le Conseil d’Etat ne respecte pas l’article 4 alinéa 1 LC, viole l’autonomie communale et procède d’un abus du pouvoir d’appréciation reconnu à cette autorité. Celle-ci maintient que la profondeur des bâtiments dans leur entier (et non pas des façades en contiguïté) est un critère ressortant du texte clair du RCCZ, critère qui doit être interprété conformément au droit supérieur et, en particulier, à l’AIHC. 4.2 Selon l’article 3 LC, les règlements communaux des constructions et des zones fixent toutes les dispositions d'exécution nécessaires, en particulier concernant les dimensions des constructions et installations (notamment distances, hauteurs et niveaux), les indices (types et valeurs) et l'ordre des constructions, ceci dans le respect du droit supérieur, en particulier pour ce qui concerne les définitions de prescriptions matérielles (al. 1). Les communes ne peuvent édicter des dispositions dérogatoires que lorsque la législation sur les constructions le prévoit expressément (al. 2). S'agissant des règles matérielles de police des constructions, les communes peuvent adopter des prescriptions plus restrictives, ceci en respectant les définitions fixées exclusivement par le droit cantonal (al. 3). L’article 4 alinéa 1 LC prévoit que l’AIHC s'applique lorsque les règles fixées par le droit cantonal ou communal portent sur des définitions figurant dans cet accord. La législation cantonale et la réglementation communale peuvent introduire des notions qui ne sont pas comprises dans l'AIHC. 4.3 L’annexe 1 à l’AIHC donne des définitions pour une série de notions et de méthodes de mesure parmi lesquelles la largeur d’un bâtiment ; celle-ci est définie comme étant le « côté le plus court du plus petit rectangle dans lequel s’inscrit la projection du pied de façade » (art. A1-4.2). L’annexe 2 à l’AIHC contient des esquisses qui permettent de se représenter concrètement comment cette définition doit être appliquée (cf. figures 4.1 et 4.2 en page 6 ; v. aussi les explications figurant dans le commentaire de l’AIHC du 3 septembre 2013 p. 8). Le droit cantonal ne prévoit rien de particulier quant à la largeur ou la profondeur d’un bâtiment. Seul l’article 9 alinéa 3 LC mentionne « la profondeur horizontale autorisée » d’une construction, en indiquant qu’elle peut être déterminée au moyen d’alignements architecturaux, notamment les alignements arrière et intérieurs. Ce silence s’inscrit dans</w:t>
      </w:r>
    </w:p>
    <w:p>
      <w:r>
        <w:t>- 13 - la logique voulue par le législateur puisqu’à teneur des articles 3 et 4 alinéa 1 LC, cette notion de largueur ou de profondeur d’un bâtiment doit être définie en se référant à l’article A1-4.2 AIHC. La réglementation communale utilise le terme de « profondeur d’un bâtiment » sans – elle non plus – lui donner de définition particulière. Cette notion est notamment utilisée à l’article 77 RCCZ, lequel prévoit diverses prescriptions applicables à l’ordre contigu. Cet article a la teneur suivante : a) Dans le cas où l'ordre contigu est appliqué, la profondeur des bâtiments ne doit pas dépasser 16 m comptés perpendiculairement à l'alignement. b) Des exceptions peuvent être admises pour des constructions au rez-de-chaussée, pour autant que les droits en matière de distance aux limites soient respectés. c) Dans le cas où aucun alignement n'est en vigueur, le Conseil municipal peut fixer la profondeur des bâtiments. d) Sont pris en considération pour le calcul de la profondeur : - les balcons, vérandas, oriels et autres dispositifs similaires dont le surplomb excède 1.50 m ; - les balcons, vérandas, oriels et autres dispositifs similaires dont la longueur par étage excède le 1/3 de la façade ; - les avant-toits dont le surplomb excède 1.50 m. e) Si un propriétaire entend déroger à l'ordre contigu obligatoire, il doit supporter sur sa seule parcelle le retrait nécessaire au respect des distances minimales réglementaires (police du feu). 4.4 En l’occurrence, l’autorité précédente estime que le projet de construction n’est pas conforme à l’article 77 lettre a RCCZ, car la profondeur du bâtiment excède largement la limite de 16 m que fixe cette disposition. Ce constat repose sur la définition prévue à l’article A1-4.2 AIHC et mise en application, pour exemples, aux figures 4.1 et 4.2 de l’annexe 2 à l’AIHC. En effet, le rectangle enveloppant la projection des pieds de façade du bâtiment projeté dispose d’une largeur d’environ 25 m, soit bien plus que les 16 m autorisés dans la zone mixte 1. 4.4.1 La recourante conteste ce point de vue, en soutenant d’abord que la pratique de l’autorité communale, qui consiste à appliquer la profondeur maximale de 16 m que prévoit cette disposition uniquement aux points de jonction des façades soumises au régime de la contiguïté, est compatible avec l’AIHC. A la suivre, cet accord ne fait que définir la notion de profondeur d’un bâtiment sans prévoir de règles contraignantes quant</w:t>
      </w:r>
    </w:p>
    <w:p>
      <w:r>
        <w:t>- 14 - à l’application d’une profondeur maximale aux seules façades érigées en contiguïté, question qui fait justement l’objet de l’article 77 lettre a RCCZ. Cet argument ne convainc pas. En effet, admettre la thèse défendue par la recourante reviendrait, en réalité, à avaliser une méthode de mesure de la profondeur d’un bâtiment qui s’écarte de celle prévue par l’AIHC dans toutes les zones communales soumises au régime de la contiguïté. Un telle manière de faire irait manifestement à l’encontre des articles 3 et 4 alinéa 1 LC et remettrait sérieusement en cause l’application de l’AIHC. En définitive, cela pourrait permettre de nombreuses possibilités de dérogation à toutes les définitions générales figurant dans l’AIHC (et pas seulement à celle ici en cause), à chaque fois que des circonstances plus ou moins particulières seraient susceptibles de le justifier. Pareille interprétation serait manifestement de nature à vider de son sens la portée de cet accord intercantonal dont l’objectif est, précisément, d’harmoniser certaines notions et méthodes de mesure du droit de l’aménagement du territoire et de la construction (art. 1 al. 1 AIHC). Dans sa réponse, le conseil municipal de Z _________ maintient que, dans l’esprit du législateur de 1989, la limite de 16 m fixée par l’article 77 lettre a RCCZ ne s’applique qu’aux points de jonction des façades soumises au régime de la contiguïté, ce qui correspond à la pratique constante de la commune depuis lors. Cet argument n’est pas non plus convaincant, dès lors que les intentions qu’avait le législateur communal il y a plus de trente ans ne sont plus déterminantes, depuis le 1er janvier 2018, lorsqu’il s’agit de faire application de notions ou de méthodes de mesure qui sont prévues dans l’AIHC. Il appartiendra à l’autorité communale d’en tenir compte lorsqu’elle procèdera à la révision de son RCCZ, notamment si elle ne se satisfait pas de la solution qui, en l’état et compte tenu du droit supérieur, s’impose dans les zones soumises au régime de la contiguïté. 4.4.2 La recourante fait aussi valoir que le bâtiment qu’elle projette de construire est constitué de deux corps. Elle explique que seules les façades du premier corps de bâtiment doivent être érigées en contiguïté et que ce corps respecte la profondeur de 16 m fixée à l’article 77 lettre a RCCZ. S’agissant du second corps de bâtiment projeté, elle affirme que ses façades ne sont pas en contiguïté, de sorte que cette limite de 16 m est inapplicable. La question de savoir si le bâtiment projeté est effectivement composé de deux corps distincts n’a pas été examinée par les autorités précédentes. Elle ne leur a d’ailleurs pas été soumise jusqu’à ce que la recourante l’évoque céans dans son mémoire. Cette</w:t>
      </w:r>
    </w:p>
    <w:p>
      <w:r>
        <w:t>- 15 - question peut être déterminante, puisqu’il est possible de déduire des articles A1-3.1, A1-3.2 et A1-4.2 AIHC que la largeur d’un bâtiment se mesure indépendamment pour chaque corps, à l’instar de ce qui prévaut d’ailleurs pour le nombre d’étages (art. A1-6.1 AIHC) et la hauteur totale (art. 11 al. 3 OC). A la différence de l’ancienne ordonnance du 2 octobre 1996 sur les constructions (aOC ; RO/VS 1996 p. 342 ss), l’OC ne comporte en l’état pas de glossaire annexé définissant notamment la notion de « bâtiment échelonné », à savoir un bâtiment doté de plusieurs corps distincts ; en effet, le Conseil d’Etat n’a pas (encore) fait usage de cette possibilité que lui offre l’article 3 alinéa 1 OC. L’AIHC ne définit pas non plus cette notion, ni celle de « corps de bâtiment ». Dans ces circonstances, rien n’empêche de se référer aux critères que la jurisprudence a dégagés sous l’empire de l’ancien droit. A cet égard, dite jurisprudence a retenu que l’absence de mur vertical continu fractionnant les parties du bâtiment ne permet pas d’exclure de facto l’existence de corps échelonnés. Une maison individuelle, qui par nature comporte un certain degré d’unité, peut ainsi être constituée de plusieurs corps distincts. Pour déterminer si des corps de bâtiment sont « distincts », il faut vérifier que chacun des éléments soit nettement identifiable à l’extérieur et que leurs dimensions soient suffisamment importantes pour qu’ils puissent être perçus comme des corps de bâtiments, l’existence de plusieurs toitures n’étant, à cet égard, à elle seule pas suffisante. La topographie du terrain appelé à supporter la construction doit être également prise en considération, ceci en gardant à l’esprit que les règles de hauteur visent notamment un souci d’intégration dans l’environnement bâti et qu’un calcul de la hauteur de manière indépendante pour les différents corps, étagés dans la pente, d’un même bâtiment, permet précisément d’assurer une bonne intégration des constructions dans un terrain difficile (cf. RVJ 2015 p. 26 et 2014 p. 25 consid. 2 ; ACDP A1 19 74 du 27 avril 2020 consid. 8.2, A1 17 107 du 31 janvier 2018 consid. 3.1, A1 16</w:t>
      </w:r>
    </w:p>
    <w:p>
      <w:r>
        <w:rPr>
          <w:b/>
        </w:rPr>
        <w:t>E. 21</w:t>
      </w:r>
    </w:p>
    <w:p>
      <w:r>
        <w:t>du 12 août 2016 consid. 5.3.2). En l’espèce, l’existence de deux corps de bâtiment distincts, au sens qui vient d’être exposé, ne peut pas être admise. D’abord, les parcelles concernées sont situées en plaine, dans un secteur dont le terrain naturel ne comporte pratiquement aucune déclivité. Ensuite, le découpage intérieur du bâtiment ne fait aucunement ressortir l’existence d’éléments de construction distincts. Enfin et surtout, aucun de ces prétendus corps n’est clairement identifiable pour un observateur extérieur. En effet, le projet ne comporte pas de toitures nettement distinctes qui permettraient d’individualiser des éléments de construction. S’il existe, certes, des décrochements de façades aux angles nord-est et sud-ouest, ces retraits ne suffisent pas à véritablement marquer une</w:t>
      </w:r>
    </w:p>
    <w:p>
      <w:r>
        <w:t>- 16 - séparation caractéristique entre deux éléments d’une même construction. Les explica- tions de la recourante, qui allègue que seules les façades de l’un des deux prétendus corps seraient à ériger en contiguïté, ne sont d’ailleurs pas probantes. A l’examen des plans autorisés, qui montrent des façades à bâtir en contiguïté tant en limite est qu’en limite ouest et décalées dans la profondeur de la construction (cf. p. ex. plans des différents niveaux), on discerne en effet mal comment une séparation entre deux corps distincts pourrait être admise. Il s’ensuit que l’argument invoquant l’existence de deux corps de bâtiment n’est pas non plus apte à remettre en cause la décision attaquée. 4.4.3 La recourante affirme encore qu’en réalité, la façade est du bâtiment projeté ne viendra pas s’appuyer directement sur celle d’une autre construction, étant donné que la parcelle voisine no yy3 comporte une construction existante qui fera l’objet d’une mesure de classement ainsi que des arbres qui doivent être maintenus en l’état. A la suivre, cette situation particulière ferait qu’il n’y aurait pas de justification d’interdire la construction d’un bâtiment disposant, sur ce côté est, d’une profondeur supérieure à 16 m, ce qui correspondait à la pratique de l’autorité communale. Ces explications n’enlèvent rien au fait que le projet est situé dans une zone soumise à l’ordre contigu et qu’il prévoit d’implanter la façade est du bâtiment litigieux sur la limite entre les parcelles nos yy1 et yy3. Elles ne permettent manifestement pas de faire abstraction des règles applicables en zone mixte 1, telles qu’interprétées au considérant 4.4.1. Seul un examen de cette situation sous l’angle de la dérogation pourrait être envisagé (cf. infra, consid. 5). 4.4.4 Sur le vu de ce qui précède, la Cour ne peut pas retenir que la décision attaquée est contraire à l’article 4 alinéa 1 LC ou qu’elle a été rendue en violation de l’autonomie reconnue à la commune de Z _________ dans l’application de son RCCZ. Il n’y pas non plus lieu d’admettre que dite décision procède d’un abus du pouvoir d’appréciation du Conseil d’Etat. 5.1 Enfin, la recourante soutient que le projet peut être autorisé par le biais d’une dérogation au sens de l’article 98 RCCZ, nonobstant le fait qu’il ne respecte pas la prescription de l’article 77 lettre a RCCZ telle qu’interprétée par l’autorité précédente. Elle relève que des impératifs liés à la protection d’arbres remarquables sur la parcelle voisine no yy3 l’ont contrainte à prévoir un bâtiment avec un décrochement, ce qui influait nécessairement sur la profondeur de celui-là. Elle explique qu’une telle dérogation ne causerait aucun inconvénient aux propriétaires et locataires voisins et ne porterait atteinte ni aux intérêts protégés de ceux-ci, ni à l’intérêt public. A la suivre, l’autorité précédente n’avait pas examiné cette possibilité de dérogation, en violation de son droit d’être entendue.</w:t>
      </w:r>
    </w:p>
    <w:p>
      <w:r>
        <w:t>- 17 - 5.2 Des dérogations aux prescriptions relatives à l'affectation de la zone à bâtir ainsi qu'aux autres dispositions en matière de construction peuvent être octroyées par l'autorité compétente lorsque des circonstances exceptionnelles ou des motifs impor- tants le justifient et qu'aucun intérêt public ou privé prépondérant d'un voisin ne s'en trouve lésé (art. 6 al. 1 LC). L’article 98 RCCZ ne prévoit rien de fondamentalement différent, prescrivant que le conseil municipal peut exceptionnellement déroger aux dispositions du règlement si l'application stricte des prescriptions légales ne s'adapte pas aux conditions d'un terrain ou d'un programme particulier, et à condition que ni l'intérêt général, ni les intérêts importants des voisins ne soient lésés. L’article 6 alinéa 1 LC a la même teneur que l’article 30 alinéa 1 de l’ancienne loi du 8 février 1996 sur les constructions (aLC ; RO/VS 1996 p. 42 ss). On peut donc se référer à la jurisprudence rendue sous l’empire de l’ancien droit s’agissant de l’interprétation des notions de « circonstances exceptionnelles » et de « motifs importants » contenues dans l’article 6 alinéa 1 LC. Cette jurisprudence a retenu que l’octroi d’une dérogation suppose une « situation exceptionnelle » et ne saurait devenir la règle, à défaut de quoi l’autorité compétente pour délivrer des permis de construire se substituerait au législateur cantonal ou communal par le biais de sa pratique dérogatoire. Il implique une pesée entre les intérêts publics et ceux du propriétaire requérant l’octroi d’une dérogation, étant précisé que des raisons purement économiques ou l’intention d’atteindre la meilleure solution architecturale ou une utilisation optimale du terrain ne suffisent pas à elles seules à conduire à l’octroi d’une dérogation (cf. arrêts du Tribunal fédéral 1C_257/2019 du 24 avril 2020 consid. 4.1 et 1C_92/2015 du 18 novembre 2015 consid. 4.2 ; RVJ 2018 p. 8 consid. 3.1 ; Benoît Bovay, Le permis de construire en droit vaudois, 2e éd. 1988, p. 193 s.). Même si l’autorité qui délivre le permis de bâtir dispose en la matière d’un certain pouvoir d’appréciation (cf. Steve Favez, La dérogation en zone à bâtir et ses alternatives, in : RDAF 2012 I p. 1 ss, p. 8 ch. 3.1.2), il n’en demeure pas moins qu’elle doit se livrer à cette pesée des intérêts, car une requête de dérogation, qui on l’a vu suppose une situation exceptionnelle (cf. ég. RVJ 2002 p. 22 consid. 3.5), doit être sous- tendue par un motif objectif (cf. Benoît Bovay, op. cit., p. 193). 5.3 En l’occurrence, dans sa réponse du 15 juin 2020, l’autorité communale confirme les motifs exposés par la recourante pour justifier une dérogation à la profondeur de 16 m que prévoit l’article 77 lettre a RCCZ. Elle relève la nécessité du décrochement de façade prévu en limite est, afin de préserver les arbres et la vue remarquables sur le bâtiment de la parcelle voisine no yy3, objet d’importance cantonale en voie de classement. Elle se dit ainsi favorable à l’octroi d’une dérogation au sens de l’article 98</w:t>
      </w:r>
    </w:p>
    <w:p>
      <w:r>
        <w:t>- 18 - RCCZ, en raison des contraintes particulières à respecter par la constructrice en relation avec les éléments à protéger sur la parcelle précitée. Les circonstances du cas pourraient en effet montrer une situation a priori exceptionnelle avec la présence, dans une zone soumise à l’ordre contigu, d’un objet d’importance cantonale en voie de classement (ensemble de bâtiments de la société B _________ SA), qui n’a pas été érigé en contiguïté et dont la préservation serait susceptible d’imposer à la recourante certaines contraintes de construction. La Cour souligne toutefois qu’une dérogation au texte de loi doit être justifiée par des motifs objectifs importants qui permettent de comprendre pourquoi, en considérant tous les aspects du cas particulier, il y a lieu de s’écarter exceptionnellement de la règle de droit des constructions, l’intérêt à la dérogation devant primer sur l’intérêt au respect de ladite règle (cf. supra, consid. 5.2 et les réf. cit.). Cette justification est essentielle ; sans elle, l’octroi d’une dérogation revient à contourner le droit matériel sans motivation objective (dans le même sens, cf. ACDP A1 18 259 du 23 avril 2019 consid. 3.5.4 et A1 18 98 du 13 février 2019 consid. 12). Or, dans le cas d’espèce, la dérogation à la profondeur de 16 m que prévoit l’article 77 lettre a RCCZ n’a pas été requise expressément, ni a fortiori motivée, dans la demande de permis (art. 39 al. 3 LC), la section « dérogation » de la formule cantonale de demande utilisée ayant été laissée vide. Cela s’explique puisque, comme on l’a vu, l’autorité communale estimait que le projet était conforme à l’article 77 lettre a RCCZ (cf. supra, consid. 4.4.1). Certes, dans sa détermination du 7 novembre 2018 adressée au Conseil d’Etat, la commune de Z _________ évoquait déjà la possibilité d’octroyer, le cas échéant, une dérogation, motif que la recourante a repris à l’appui de son mémoire de recours de droit administratif. Si l’on peut comprendre, sur la base de ces éléments, en quoi la situation pourrait être qualifiée d’exceptionnelle, force est de constater qu’en revanche, aucune pesée des intérêts en présence n’a été effectuée à ce jour. Les pièces du dossier ne renseignent pas précisément sur les contraintes imposées à la constructrice par le classement de l’objet d’importance cantonale sis sur la parcelle no yy3, dont on ignore d’ailleurs s’il a fait à ce jour l’objet d’une décision de protection formelle. Une prise de position du service cantonal compétent semble nécessaire sur ce point. Il n’appartient toutefois pas à la Cour de céans, dernière instance cantonale de recours appelée à contrôler la légalité des décisions qui lui sont soumises (art. 72 LPJA), d’instruire cette question. En effet, c’est à l’autorité communale, à qui la recourante devra soumettre une nouvelle demande de permis de bâtir avec dérogation motivée si elle entend maintenir son projet, qu’il reviendra de procéder à cette pesée des intérêts au</w:t>
      </w:r>
    </w:p>
    <w:p>
      <w:r>
        <w:t>- 19 - terme de laquelle, après avoir consulté le service cantonal compétent et entendu les opposants, elle décidera s’il s’impose de déroger in casu à la profondeur de 16 m que prévoit l’article 77 lettre a RCCZ. A cet égard, contrairement à ce que soutiennent H _________ &amp; consorts céans, les dispositions de la LC et de l’AIHC ne s’opposent pas de facto à l’octroi d’une dérogation au sens de l’article 98 RCCZ. En effet, la limite de profondeur de 16 m n’est pas fixée par le droit supérieur, mais bien par le droit communal. Il ne s’agit donc pas de déroger au droit cantonal (ou intercantonal) et à la manière de calculer la profondeur du bâtiment, mais d’examiner si une dérogation aux 16 m fixés par l’article 77 lettre a RCCZ peut en l’occurrence se justifier. 5.4 Il s’ensuit qu’en l’état, en l’absence d’une demande de dérogation et d’un examen formel par l’autorité communale, le projet contrevient à la disposition précitée, ce que le Conseil d’Etat a constaté à bon droit. Contrairement à ce que soutient la recourante, l’exécutif cantonal n’avait pas l’obligation d’examiner, dans sa décision sur recours, la possibilité d’avaliser le projet via une dérogation. Comme on vient de le voir, cet examen est avant tout du ressort de l’autorité communale. Le grief que la recourante invoque en mentionnant une possibilité de dérogation n’est donc pas de nature à faire accueillir les conclusions qu’elle a prises céans et doit, partant, être écarté. 6.1 Attendu ce qui précède, le recours est rejeté (art. 80 al. 1 let. e et 60 al. 1 LPJA). 6.2 Vu l'issue du litige, les frais de la cause doivent être mis à la charge de la recourante (art. 89 al. 1 LPJA), qui n’a pas droit à des dépens (art. 91 al. 1 a contrario LPJA). Celle- ci versera en outre une indemnité à H _________ &amp; consorts, qui ont pris une conclusion en ce sens et obtiennent gain de cause (art. 91 LPJA). 6.3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3500 fr., débours compris (art. 11 LTar). Les dépens dus par la recourante à H _________ &amp; consorts sont fixés à 1000 fr. (débours et TVA inclus). Ce montant tient compte du travail effectué par le mandataire de ces opposants qui a consisté principalement en la rédaction d’une détermination de 5 pages (art. 4, 27 et 39 de la loi du 11 février 2009 fixant le tarif des frais et dépens devant les autorités judiciaires ou administratives – LTar ; RS/VS 173.8).</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